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2822B3">
        <w:rPr>
          <w:rFonts w:ascii="Arial" w:hAnsi="Arial" w:cs="Arial"/>
          <w:b/>
          <w:sz w:val="30"/>
          <w:szCs w:val="30"/>
        </w:rPr>
        <w:t>0</w:t>
      </w:r>
      <w:r w:rsidR="008F5819">
        <w:rPr>
          <w:rFonts w:ascii="Arial" w:hAnsi="Arial" w:cs="Arial"/>
          <w:b/>
          <w:sz w:val="30"/>
          <w:szCs w:val="30"/>
        </w:rPr>
        <w:t>9</w:t>
      </w:r>
      <w:r w:rsidR="007E10DE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8F5819">
        <w:rPr>
          <w:rFonts w:ascii="Arial" w:hAnsi="Arial" w:cs="Arial"/>
          <w:b/>
          <w:sz w:val="30"/>
          <w:szCs w:val="30"/>
        </w:rPr>
        <w:t>Le combat</w:t>
      </w:r>
      <w:r w:rsidR="00051267">
        <w:rPr>
          <w:rFonts w:ascii="Arial" w:hAnsi="Arial" w:cs="Arial"/>
          <w:b/>
          <w:sz w:val="30"/>
          <w:szCs w:val="30"/>
        </w:rPr>
        <w:t xml:space="preserve"> bordelais</w:t>
      </w:r>
      <w:r w:rsidR="008F5819">
        <w:rPr>
          <w:rFonts w:ascii="Arial" w:hAnsi="Arial" w:cs="Arial"/>
          <w:b/>
          <w:sz w:val="30"/>
          <w:szCs w:val="30"/>
        </w:rPr>
        <w:t xml:space="preserve"> des canelés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842C4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5C51FA">
        <w:rPr>
          <w:rFonts w:ascii="Arial" w:hAnsi="Arial" w:cs="Arial"/>
          <w:b/>
          <w:bCs/>
          <w:color w:val="000000"/>
        </w:rPr>
        <w:t xml:space="preserve"> </w:t>
      </w:r>
      <w:r w:rsidR="008F5819">
        <w:rPr>
          <w:rFonts w:ascii="Arial" w:hAnsi="Arial" w:cs="Arial"/>
          <w:b/>
          <w:bCs/>
          <w:color w:val="000000"/>
        </w:rPr>
        <w:t>Sixième/Cycle 3</w:t>
      </w:r>
    </w:p>
    <w:p w:rsidR="0055718A" w:rsidRDefault="00416AE2" w:rsidP="008953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4D651A">
        <w:rPr>
          <w:rFonts w:ascii="Arial" w:hAnsi="Arial" w:cs="Arial"/>
          <w:b/>
          <w:bCs/>
          <w:color w:val="000000"/>
        </w:rPr>
        <w:t xml:space="preserve"> </w:t>
      </w:r>
      <w:r w:rsidR="008F5819">
        <w:rPr>
          <w:rFonts w:ascii="Arial" w:hAnsi="Arial" w:cs="Arial"/>
          <w:b/>
          <w:bCs/>
          <w:color w:val="000000"/>
        </w:rPr>
        <w:t>Proportionnalité, Calculs numériques</w:t>
      </w:r>
    </w:p>
    <w:p w:rsidR="00602124" w:rsidRDefault="0095454B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8F5819">
        <w:rPr>
          <w:rFonts w:ascii="Arial" w:hAnsi="Arial" w:cs="Arial"/>
          <w:b/>
          <w:bCs/>
          <w:color w:val="000000"/>
        </w:rPr>
        <w:t>27</w:t>
      </w:r>
      <w:r>
        <w:rPr>
          <w:rFonts w:ascii="Arial" w:hAnsi="Arial" w:cs="Arial"/>
          <w:b/>
          <w:bCs/>
          <w:color w:val="000000"/>
        </w:rPr>
        <w:t>/</w:t>
      </w:r>
      <w:r w:rsidR="008F5819">
        <w:rPr>
          <w:rFonts w:ascii="Arial" w:hAnsi="Arial" w:cs="Arial"/>
          <w:b/>
          <w:bCs/>
          <w:color w:val="000000"/>
        </w:rPr>
        <w:t>01</w:t>
      </w:r>
      <w:r>
        <w:rPr>
          <w:rFonts w:ascii="Arial" w:hAnsi="Arial" w:cs="Arial"/>
          <w:b/>
          <w:bCs/>
          <w:color w:val="000000"/>
        </w:rPr>
        <w:t>/202</w:t>
      </w:r>
      <w:r w:rsidR="008F5819">
        <w:rPr>
          <w:rFonts w:ascii="Arial" w:hAnsi="Arial" w:cs="Arial"/>
          <w:b/>
          <w:bCs/>
          <w:color w:val="000000"/>
        </w:rPr>
        <w:t>5</w:t>
      </w:r>
    </w:p>
    <w:p w:rsidR="002F39CA" w:rsidRDefault="002F39CA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2F39CA" w:rsidRDefault="0038112E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Containers/UBF8T346G9.ms/WebArchiveCopyPasteTempFiles/com.microsoft.Word/recette_canel%C3%A9_23.jpg"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43325"/>
            <wp:effectExtent l="0" t="0" r="0" b="3175"/>
            <wp:docPr id="152244007" name="Image 1" descr="Le cannelé : recette d'un dur au cœur tend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 cannelé : recette d'un dur au cœur tend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F65491" w:rsidRPr="00F65491" w:rsidRDefault="00F65491" w:rsidP="00F65491">
      <w:pPr>
        <w:widowControl w:val="0"/>
        <w:spacing w:line="280" w:lineRule="atLeast"/>
        <w:jc w:val="both"/>
        <w:rPr>
          <w:i/>
          <w:iCs/>
        </w:rPr>
      </w:pPr>
    </w:p>
    <w:p w:rsidR="008F5819" w:rsidRDefault="008F5819" w:rsidP="001C32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8112E">
        <w:rPr>
          <w:rFonts w:ascii="Arial" w:hAnsi="Arial" w:cs="Arial"/>
        </w:rPr>
        <w:t xml:space="preserve">A Bordeaux, deux marques très connues, </w:t>
      </w:r>
      <w:proofErr w:type="spellStart"/>
      <w:r w:rsidR="0038112E">
        <w:rPr>
          <w:rFonts w:ascii="Arial" w:hAnsi="Arial" w:cs="Arial"/>
        </w:rPr>
        <w:t>Baillardran</w:t>
      </w:r>
      <w:proofErr w:type="spellEnd"/>
      <w:r w:rsidR="0038112E">
        <w:rPr>
          <w:rFonts w:ascii="Arial" w:hAnsi="Arial" w:cs="Arial"/>
        </w:rPr>
        <w:t xml:space="preserve"> et la Toque Cuivrée, se disputent depuis la fin des années 90 le marché du très fameux canelé (avec un seul « n » pour bien marquer qu’il est bordelais), le délicieux gâteau en forme de cylindre avec des rayures sur son côté. Avec son délicat parfum de rhum ou de vanille, </w:t>
      </w:r>
      <w:r w:rsidR="0011350C">
        <w:rPr>
          <w:rFonts w:ascii="Arial" w:hAnsi="Arial" w:cs="Arial"/>
        </w:rPr>
        <w:t>le canelé</w:t>
      </w:r>
      <w:r w:rsidR="0038112E">
        <w:rPr>
          <w:rFonts w:ascii="Arial" w:hAnsi="Arial" w:cs="Arial"/>
        </w:rPr>
        <w:t xml:space="preserve"> séduit absolument tous les visiteurs</w:t>
      </w:r>
      <w:r w:rsidR="00472531">
        <w:rPr>
          <w:rFonts w:ascii="Arial" w:hAnsi="Arial" w:cs="Arial"/>
        </w:rPr>
        <w:t xml:space="preserve"> de Bordeaux</w:t>
      </w:r>
      <w:r w:rsidR="0038112E">
        <w:rPr>
          <w:rFonts w:ascii="Arial" w:hAnsi="Arial" w:cs="Arial"/>
        </w:rPr>
        <w:t xml:space="preserve"> qui s’étonnent toujours</w:t>
      </w:r>
      <w:r w:rsidR="009A6B70">
        <w:rPr>
          <w:rFonts w:ascii="Arial" w:hAnsi="Arial" w:cs="Arial"/>
        </w:rPr>
        <w:t xml:space="preserve">, </w:t>
      </w:r>
      <w:r w:rsidR="0038112E">
        <w:rPr>
          <w:rFonts w:ascii="Arial" w:hAnsi="Arial" w:cs="Arial"/>
        </w:rPr>
        <w:t>cependant</w:t>
      </w:r>
      <w:r w:rsidR="009A6B70">
        <w:rPr>
          <w:rFonts w:ascii="Arial" w:hAnsi="Arial" w:cs="Arial"/>
        </w:rPr>
        <w:t>,</w:t>
      </w:r>
      <w:r w:rsidR="0038112E">
        <w:rPr>
          <w:rFonts w:ascii="Arial" w:hAnsi="Arial" w:cs="Arial"/>
        </w:rPr>
        <w:t xml:space="preserve"> du </w:t>
      </w:r>
      <w:r w:rsidR="009A6B70">
        <w:rPr>
          <w:rFonts w:ascii="Arial" w:hAnsi="Arial" w:cs="Arial"/>
        </w:rPr>
        <w:t>dilemme</w:t>
      </w:r>
      <w:r w:rsidR="0038112E">
        <w:rPr>
          <w:rFonts w:ascii="Arial" w:hAnsi="Arial" w:cs="Arial"/>
        </w:rPr>
        <w:t xml:space="preserve"> qui leur est proposé quand il s’agit de différencier les deux marques.</w:t>
      </w:r>
    </w:p>
    <w:p w:rsidR="0038112E" w:rsidRDefault="0038112E" w:rsidP="001C32DF">
      <w:pPr>
        <w:jc w:val="both"/>
        <w:rPr>
          <w:rFonts w:ascii="Arial" w:hAnsi="Arial" w:cs="Arial"/>
        </w:rPr>
      </w:pPr>
    </w:p>
    <w:p w:rsidR="0038112E" w:rsidRDefault="0038112E" w:rsidP="002B3C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En effet, </w:t>
      </w:r>
      <w:proofErr w:type="spellStart"/>
      <w:r>
        <w:rPr>
          <w:rFonts w:ascii="Arial" w:hAnsi="Arial" w:cs="Arial"/>
        </w:rPr>
        <w:t>Baillardran</w:t>
      </w:r>
      <w:proofErr w:type="spellEnd"/>
      <w:r w:rsidR="001C32DF">
        <w:rPr>
          <w:rFonts w:ascii="Arial" w:hAnsi="Arial" w:cs="Arial"/>
        </w:rPr>
        <w:t>, qui possède</w:t>
      </w:r>
      <w:r>
        <w:rPr>
          <w:rFonts w:ascii="Arial" w:hAnsi="Arial" w:cs="Arial"/>
        </w:rPr>
        <w:t xml:space="preserve"> à ce jour l’image de la marque la plus luxueuse, propose des canelés </w:t>
      </w:r>
      <w:r w:rsidR="00200F60">
        <w:rPr>
          <w:rFonts w:ascii="Arial" w:hAnsi="Arial" w:cs="Arial"/>
        </w:rPr>
        <w:t xml:space="preserve">vraiment </w:t>
      </w:r>
      <w:r>
        <w:rPr>
          <w:rFonts w:ascii="Arial" w:hAnsi="Arial" w:cs="Arial"/>
        </w:rPr>
        <w:t>nettement plus chers que ceux de son concurrent</w:t>
      </w:r>
      <w:r w:rsidR="001C32DF">
        <w:rPr>
          <w:rFonts w:ascii="Arial" w:hAnsi="Arial" w:cs="Arial"/>
        </w:rPr>
        <w:t xml:space="preserve"> – alors que les deux vendent parfois aux mêmes lieux </w:t>
      </w:r>
      <w:r w:rsidR="00A84B5F">
        <w:rPr>
          <w:rFonts w:ascii="Arial" w:hAnsi="Arial" w:cs="Arial"/>
        </w:rPr>
        <w:t>dans</w:t>
      </w:r>
      <w:r w:rsidR="001C32DF">
        <w:rPr>
          <w:rFonts w:ascii="Arial" w:hAnsi="Arial" w:cs="Arial"/>
        </w:rPr>
        <w:t xml:space="preserve"> Bordeaux</w:t>
      </w:r>
      <w:r>
        <w:rPr>
          <w:rFonts w:ascii="Arial" w:hAnsi="Arial" w:cs="Arial"/>
        </w:rPr>
        <w:t xml:space="preserve">. </w:t>
      </w:r>
      <w:r w:rsidR="002B3CC3" w:rsidRPr="002B3CC3">
        <w:rPr>
          <w:rFonts w:ascii="Arial" w:hAnsi="Arial" w:cs="Arial"/>
        </w:rPr>
        <w:t>Nous n’irons pas ici trancher pour savoir quel canelé a le meilleur goût, mais par contre les deux marques sont facilement comparables en termes de prix, puisqu'elles proposent les mêmes formats de gâteaux</w:t>
      </w:r>
      <w:r>
        <w:rPr>
          <w:rFonts w:ascii="Arial" w:hAnsi="Arial" w:cs="Arial"/>
        </w:rPr>
        <w:t xml:space="preserve">. Le format dit </w:t>
      </w:r>
      <w:r w:rsidR="0013343C">
        <w:rPr>
          <w:rFonts w:ascii="Arial" w:hAnsi="Arial" w:cs="Arial"/>
        </w:rPr>
        <w:t xml:space="preserve">« Gros » chez la Toque Cuivrée est de même masse (60 g) que le format appelé « Original » chez </w:t>
      </w:r>
      <w:proofErr w:type="spellStart"/>
      <w:r w:rsidR="0013343C">
        <w:rPr>
          <w:rFonts w:ascii="Arial" w:hAnsi="Arial" w:cs="Arial"/>
        </w:rPr>
        <w:t>Baillardran</w:t>
      </w:r>
      <w:proofErr w:type="spellEnd"/>
      <w:r w:rsidR="0013343C">
        <w:rPr>
          <w:rFonts w:ascii="Arial" w:hAnsi="Arial" w:cs="Arial"/>
        </w:rPr>
        <w:t xml:space="preserve">. En </w:t>
      </w:r>
      <w:r w:rsidR="0013343C" w:rsidRPr="0013343C">
        <w:rPr>
          <w:rFonts w:ascii="Arial" w:hAnsi="Arial" w:cs="Arial"/>
          <w:b/>
          <w:bCs/>
        </w:rPr>
        <w:t>Annexe</w:t>
      </w:r>
      <w:r w:rsidR="0013343C">
        <w:rPr>
          <w:rFonts w:ascii="Arial" w:hAnsi="Arial" w:cs="Arial"/>
        </w:rPr>
        <w:t xml:space="preserve">, </w:t>
      </w:r>
      <w:r w:rsidR="00FE67C3">
        <w:rPr>
          <w:rFonts w:ascii="Arial" w:hAnsi="Arial" w:cs="Arial"/>
        </w:rPr>
        <w:t xml:space="preserve">on </w:t>
      </w:r>
      <w:r w:rsidR="0013343C">
        <w:rPr>
          <w:rFonts w:ascii="Arial" w:hAnsi="Arial" w:cs="Arial"/>
        </w:rPr>
        <w:t>a repris les prix pratiqués début 2025 par chacune des deux marques pour ces formats de canelés, en fonction du nombre de canelés dans les boîtes vendues.</w:t>
      </w:r>
    </w:p>
    <w:p w:rsidR="008F5819" w:rsidRDefault="008F5819" w:rsidP="001C32DF">
      <w:pPr>
        <w:jc w:val="both"/>
        <w:rPr>
          <w:rFonts w:ascii="Arial" w:hAnsi="Arial" w:cs="Arial"/>
        </w:rPr>
      </w:pPr>
    </w:p>
    <w:p w:rsidR="008F5819" w:rsidRPr="008F5819" w:rsidRDefault="008F5819" w:rsidP="001C32DF">
      <w:pPr>
        <w:jc w:val="both"/>
        <w:rPr>
          <w:rFonts w:ascii="Arial" w:hAnsi="Arial" w:cs="Arial"/>
        </w:rPr>
      </w:pPr>
      <w:r w:rsidRPr="008F5819">
        <w:rPr>
          <w:rFonts w:ascii="Arial" w:hAnsi="Arial" w:cs="Arial"/>
        </w:rPr>
        <w:t xml:space="preserve">1) Montrer que </w:t>
      </w:r>
      <w:r w:rsidR="00A84B5F" w:rsidRPr="008F5819">
        <w:rPr>
          <w:rFonts w:ascii="Arial" w:hAnsi="Arial" w:cs="Arial"/>
        </w:rPr>
        <w:t>chez la Toque Cuivrée</w:t>
      </w:r>
      <w:r w:rsidR="00A84B5F">
        <w:rPr>
          <w:rFonts w:ascii="Arial" w:hAnsi="Arial" w:cs="Arial"/>
        </w:rPr>
        <w:t xml:space="preserve">, </w:t>
      </w:r>
      <w:r w:rsidRPr="008F5819">
        <w:rPr>
          <w:rFonts w:ascii="Arial" w:hAnsi="Arial" w:cs="Arial"/>
        </w:rPr>
        <w:t>les prix sont proportionnels au nombre de canelés</w:t>
      </w:r>
      <w:r w:rsidR="00F53A66">
        <w:rPr>
          <w:rFonts w:ascii="Arial" w:hAnsi="Arial" w:cs="Arial"/>
        </w:rPr>
        <w:t xml:space="preserve"> dans les boîtes</w:t>
      </w:r>
      <w:r w:rsidR="001C32DF">
        <w:rPr>
          <w:rFonts w:ascii="Arial" w:hAnsi="Arial" w:cs="Arial"/>
        </w:rPr>
        <w:t xml:space="preserve">, </w:t>
      </w:r>
      <w:r w:rsidRPr="008F5819">
        <w:rPr>
          <w:rFonts w:ascii="Arial" w:hAnsi="Arial" w:cs="Arial"/>
        </w:rPr>
        <w:t xml:space="preserve">mais </w:t>
      </w:r>
      <w:r w:rsidR="00A84B5F">
        <w:rPr>
          <w:rFonts w:ascii="Arial" w:hAnsi="Arial" w:cs="Arial"/>
        </w:rPr>
        <w:t xml:space="preserve">que ce n’est </w:t>
      </w:r>
      <w:r w:rsidRPr="008F5819">
        <w:rPr>
          <w:rFonts w:ascii="Arial" w:hAnsi="Arial" w:cs="Arial"/>
        </w:rPr>
        <w:t xml:space="preserve">pas </w:t>
      </w:r>
      <w:r w:rsidR="00A84B5F">
        <w:rPr>
          <w:rFonts w:ascii="Arial" w:hAnsi="Arial" w:cs="Arial"/>
        </w:rPr>
        <w:t xml:space="preserve">le cas </w:t>
      </w:r>
      <w:r w:rsidRPr="008F5819">
        <w:rPr>
          <w:rFonts w:ascii="Arial" w:hAnsi="Arial" w:cs="Arial"/>
        </w:rPr>
        <w:t xml:space="preserve">chez </w:t>
      </w:r>
      <w:proofErr w:type="spellStart"/>
      <w:r w:rsidRPr="008F5819">
        <w:rPr>
          <w:rFonts w:ascii="Arial" w:hAnsi="Arial" w:cs="Arial"/>
        </w:rPr>
        <w:t>Baillardran</w:t>
      </w:r>
      <w:proofErr w:type="spellEnd"/>
      <w:r w:rsidRPr="008F5819">
        <w:rPr>
          <w:rFonts w:ascii="Arial" w:hAnsi="Arial" w:cs="Arial"/>
        </w:rPr>
        <w:t xml:space="preserve">. </w:t>
      </w:r>
    </w:p>
    <w:p w:rsidR="008F5819" w:rsidRDefault="008F5819" w:rsidP="001C32DF">
      <w:pPr>
        <w:jc w:val="both"/>
        <w:rPr>
          <w:rFonts w:ascii="Arial" w:hAnsi="Arial" w:cs="Arial"/>
        </w:rPr>
      </w:pPr>
    </w:p>
    <w:p w:rsidR="008F5819" w:rsidRPr="008F5819" w:rsidRDefault="008F5819" w:rsidP="001C32DF">
      <w:pPr>
        <w:jc w:val="both"/>
        <w:rPr>
          <w:rFonts w:ascii="Arial" w:hAnsi="Arial" w:cs="Arial"/>
        </w:rPr>
      </w:pPr>
      <w:r w:rsidRPr="008F5819">
        <w:rPr>
          <w:rFonts w:ascii="Arial" w:hAnsi="Arial" w:cs="Arial"/>
        </w:rPr>
        <w:t>2) Quel est le prix de 50 canelés achetés chez la Toque Cuivrée?</w:t>
      </w:r>
    </w:p>
    <w:p w:rsidR="008F5819" w:rsidRDefault="008F5819" w:rsidP="001C32DF">
      <w:pPr>
        <w:jc w:val="both"/>
        <w:rPr>
          <w:rFonts w:ascii="Arial" w:hAnsi="Arial" w:cs="Arial"/>
        </w:rPr>
      </w:pPr>
    </w:p>
    <w:p w:rsidR="008F5819" w:rsidRPr="008F5819" w:rsidRDefault="008F5819" w:rsidP="001C32DF">
      <w:pPr>
        <w:jc w:val="both"/>
        <w:rPr>
          <w:rFonts w:ascii="Arial" w:hAnsi="Arial" w:cs="Arial"/>
        </w:rPr>
      </w:pPr>
      <w:r w:rsidRPr="008F5819">
        <w:rPr>
          <w:rFonts w:ascii="Arial" w:hAnsi="Arial" w:cs="Arial"/>
        </w:rPr>
        <w:t xml:space="preserve">3) a) On affirme souvent qu'il est plus intéressant d'acheter </w:t>
      </w:r>
      <w:r w:rsidR="00111B10">
        <w:rPr>
          <w:rFonts w:ascii="Arial" w:hAnsi="Arial" w:cs="Arial"/>
        </w:rPr>
        <w:t xml:space="preserve">en </w:t>
      </w:r>
      <w:r w:rsidRPr="008F5819">
        <w:rPr>
          <w:rFonts w:ascii="Arial" w:hAnsi="Arial" w:cs="Arial"/>
        </w:rPr>
        <w:t>plus</w:t>
      </w:r>
      <w:r w:rsidR="00111B10">
        <w:rPr>
          <w:rFonts w:ascii="Arial" w:hAnsi="Arial" w:cs="Arial"/>
        </w:rPr>
        <w:t xml:space="preserve"> grosses quantités</w:t>
      </w:r>
      <w:r w:rsidRPr="008F5819">
        <w:rPr>
          <w:rFonts w:ascii="Arial" w:hAnsi="Arial" w:cs="Arial"/>
        </w:rPr>
        <w:t xml:space="preserve"> car cela revient moins cher à l'unité. Est-ce le cas chez </w:t>
      </w:r>
      <w:proofErr w:type="spellStart"/>
      <w:r w:rsidRPr="008F5819">
        <w:rPr>
          <w:rFonts w:ascii="Arial" w:hAnsi="Arial" w:cs="Arial"/>
        </w:rPr>
        <w:t>Baillardran</w:t>
      </w:r>
      <w:proofErr w:type="spellEnd"/>
      <w:r w:rsidRPr="008F5819">
        <w:rPr>
          <w:rFonts w:ascii="Arial" w:hAnsi="Arial" w:cs="Arial"/>
        </w:rPr>
        <w:t>? Si non, quelle est la boîte la plus intéressante à acheter?</w:t>
      </w:r>
    </w:p>
    <w:p w:rsidR="008F5819" w:rsidRDefault="008F5819" w:rsidP="001C32DF">
      <w:pPr>
        <w:jc w:val="both"/>
        <w:rPr>
          <w:rFonts w:ascii="Arial" w:hAnsi="Arial" w:cs="Arial"/>
        </w:rPr>
      </w:pPr>
    </w:p>
    <w:p w:rsidR="008F5819" w:rsidRPr="008F5819" w:rsidRDefault="008F5819" w:rsidP="001C32DF">
      <w:pPr>
        <w:jc w:val="both"/>
        <w:rPr>
          <w:rFonts w:ascii="Arial" w:hAnsi="Arial" w:cs="Arial"/>
        </w:rPr>
      </w:pPr>
      <w:r w:rsidRPr="008F5819">
        <w:rPr>
          <w:rFonts w:ascii="Arial" w:hAnsi="Arial" w:cs="Arial"/>
        </w:rPr>
        <w:lastRenderedPageBreak/>
        <w:t xml:space="preserve">b) Si l'on voulait acheter 50 canelés chez </w:t>
      </w:r>
      <w:proofErr w:type="spellStart"/>
      <w:r w:rsidRPr="008F5819">
        <w:rPr>
          <w:rFonts w:ascii="Arial" w:hAnsi="Arial" w:cs="Arial"/>
        </w:rPr>
        <w:t>Baillardran</w:t>
      </w:r>
      <w:proofErr w:type="spellEnd"/>
      <w:r w:rsidRPr="008F5819">
        <w:rPr>
          <w:rFonts w:ascii="Arial" w:hAnsi="Arial" w:cs="Arial"/>
        </w:rPr>
        <w:t xml:space="preserve"> (et pas un de plus!), quel serait le prix minimum à payer?</w:t>
      </w:r>
    </w:p>
    <w:p w:rsidR="008F5819" w:rsidRDefault="008F5819" w:rsidP="001C32DF">
      <w:pPr>
        <w:jc w:val="both"/>
        <w:rPr>
          <w:rFonts w:ascii="Arial" w:hAnsi="Arial" w:cs="Arial"/>
        </w:rPr>
      </w:pPr>
    </w:p>
    <w:p w:rsidR="008F5819" w:rsidRPr="008F5819" w:rsidRDefault="008F5819" w:rsidP="001C32DF">
      <w:pPr>
        <w:jc w:val="both"/>
        <w:rPr>
          <w:rFonts w:ascii="Arial" w:hAnsi="Arial" w:cs="Arial"/>
        </w:rPr>
      </w:pPr>
      <w:r w:rsidRPr="008F5819">
        <w:rPr>
          <w:rFonts w:ascii="Arial" w:hAnsi="Arial" w:cs="Arial"/>
        </w:rPr>
        <w:t xml:space="preserve">4) </w:t>
      </w:r>
      <w:r w:rsidRPr="004C7BF8">
        <w:rPr>
          <w:rFonts w:ascii="Arial" w:hAnsi="Arial" w:cs="Arial"/>
        </w:rPr>
        <w:t xml:space="preserve">Au minimum, </w:t>
      </w:r>
      <w:r w:rsidRPr="008F5819">
        <w:rPr>
          <w:rFonts w:ascii="Arial" w:hAnsi="Arial" w:cs="Arial"/>
        </w:rPr>
        <w:t xml:space="preserve">combien de fois un canelé de </w:t>
      </w:r>
      <w:proofErr w:type="spellStart"/>
      <w:r w:rsidRPr="008F5819">
        <w:rPr>
          <w:rFonts w:ascii="Arial" w:hAnsi="Arial" w:cs="Arial"/>
        </w:rPr>
        <w:t>Baillardran</w:t>
      </w:r>
      <w:proofErr w:type="spellEnd"/>
      <w:r w:rsidRPr="008F5819">
        <w:rPr>
          <w:rFonts w:ascii="Arial" w:hAnsi="Arial" w:cs="Arial"/>
        </w:rPr>
        <w:t xml:space="preserve"> est-il plus cher qu'un canelé de la Toque </w:t>
      </w:r>
      <w:r w:rsidR="00334AFD">
        <w:rPr>
          <w:rFonts w:ascii="Arial" w:hAnsi="Arial" w:cs="Arial"/>
        </w:rPr>
        <w:t>C</w:t>
      </w:r>
      <w:r w:rsidRPr="008F5819">
        <w:rPr>
          <w:rFonts w:ascii="Arial" w:hAnsi="Arial" w:cs="Arial"/>
        </w:rPr>
        <w:t>uivrée</w:t>
      </w:r>
      <w:r w:rsidR="00472531">
        <w:rPr>
          <w:rFonts w:ascii="Arial" w:hAnsi="Arial" w:cs="Arial"/>
        </w:rPr>
        <w:t xml:space="preserve"> ? Poser le calcul qui permet de répondre à cette question, en arrondissant le résultat obtenu au centième près. </w:t>
      </w:r>
    </w:p>
    <w:p w:rsidR="008F5819" w:rsidRDefault="008F5819" w:rsidP="001C32DF">
      <w:pPr>
        <w:jc w:val="both"/>
        <w:rPr>
          <w:rFonts w:ascii="Arial" w:hAnsi="Arial" w:cs="Arial"/>
        </w:rPr>
      </w:pPr>
    </w:p>
    <w:p w:rsidR="008F5819" w:rsidRDefault="008F5819" w:rsidP="001C32DF">
      <w:pPr>
        <w:jc w:val="both"/>
        <w:rPr>
          <w:rFonts w:ascii="Arial" w:hAnsi="Arial" w:cs="Arial"/>
        </w:rPr>
      </w:pPr>
      <w:r w:rsidRPr="008F5819">
        <w:rPr>
          <w:rFonts w:ascii="Arial" w:hAnsi="Arial" w:cs="Arial"/>
        </w:rPr>
        <w:t xml:space="preserve">5) Louise a acheté un certain nombre de canelés des deux marques, avec au minimum </w:t>
      </w:r>
      <w:r w:rsidR="001C32DF">
        <w:rPr>
          <w:rFonts w:ascii="Arial" w:hAnsi="Arial" w:cs="Arial"/>
        </w:rPr>
        <w:t>1 canelé provenant</w:t>
      </w:r>
      <w:r w:rsidRPr="008F5819">
        <w:rPr>
          <w:rFonts w:ascii="Arial" w:hAnsi="Arial" w:cs="Arial"/>
        </w:rPr>
        <w:t xml:space="preserve"> des deux</w:t>
      </w:r>
      <w:r w:rsidR="001C32DF">
        <w:rPr>
          <w:rFonts w:ascii="Arial" w:hAnsi="Arial" w:cs="Arial"/>
        </w:rPr>
        <w:t xml:space="preserve"> marques</w:t>
      </w:r>
      <w:r w:rsidRPr="008F5819">
        <w:rPr>
          <w:rFonts w:ascii="Arial" w:hAnsi="Arial" w:cs="Arial"/>
        </w:rPr>
        <w:t xml:space="preserve">. Elle les a payés à l'unité: pour </w:t>
      </w:r>
      <w:proofErr w:type="spellStart"/>
      <w:r w:rsidRPr="008F5819">
        <w:rPr>
          <w:rFonts w:ascii="Arial" w:hAnsi="Arial" w:cs="Arial"/>
        </w:rPr>
        <w:t>Baillardran</w:t>
      </w:r>
      <w:proofErr w:type="spellEnd"/>
      <w:r w:rsidRPr="008F5819">
        <w:rPr>
          <w:rFonts w:ascii="Arial" w:hAnsi="Arial" w:cs="Arial"/>
        </w:rPr>
        <w:t>, le prix à l'unité correspond au prix d'un canelé dans une boîte de 4 canelés.</w:t>
      </w:r>
    </w:p>
    <w:p w:rsidR="008F5819" w:rsidRPr="008F5819" w:rsidRDefault="008F5819" w:rsidP="001C32DF">
      <w:pPr>
        <w:jc w:val="both"/>
        <w:rPr>
          <w:rFonts w:ascii="Arial" w:hAnsi="Arial" w:cs="Arial"/>
        </w:rPr>
      </w:pPr>
    </w:p>
    <w:p w:rsidR="002F39CA" w:rsidRPr="008F5819" w:rsidRDefault="008F5819" w:rsidP="001C32DF">
      <w:pPr>
        <w:jc w:val="both"/>
        <w:rPr>
          <w:rFonts w:ascii="Arial" w:hAnsi="Arial" w:cs="Arial"/>
          <w:color w:val="000000"/>
        </w:rPr>
      </w:pPr>
      <w:r w:rsidRPr="008F5819">
        <w:rPr>
          <w:rFonts w:ascii="Arial" w:hAnsi="Arial" w:cs="Arial"/>
        </w:rPr>
        <w:t>Sachant que Louise a dépensé strictement un nombre entier d'euros, combien au minimum a-t-elle acheté de canelés de chaque marque?</w:t>
      </w:r>
    </w:p>
    <w:p w:rsidR="002F39CA" w:rsidRDefault="002F39CA" w:rsidP="001C32DF">
      <w:pPr>
        <w:jc w:val="both"/>
        <w:rPr>
          <w:rFonts w:ascii="Arial" w:hAnsi="Arial" w:cs="Arial"/>
          <w:color w:val="000000"/>
        </w:rPr>
      </w:pPr>
    </w:p>
    <w:p w:rsidR="00257120" w:rsidRDefault="00257120" w:rsidP="00257120">
      <w:pPr>
        <w:jc w:val="center"/>
        <w:rPr>
          <w:rFonts w:ascii="Arial" w:hAnsi="Arial" w:cs="Arial"/>
          <w:b/>
          <w:bCs/>
          <w:color w:val="000000"/>
        </w:rPr>
      </w:pPr>
      <w:r w:rsidRPr="00257120">
        <w:rPr>
          <w:rFonts w:ascii="Arial" w:hAnsi="Arial" w:cs="Arial"/>
          <w:b/>
          <w:bCs/>
          <w:color w:val="000000"/>
        </w:rPr>
        <w:t>Annexe</w:t>
      </w:r>
    </w:p>
    <w:p w:rsidR="004C7BF8" w:rsidRDefault="004C7BF8" w:rsidP="004C7BF8">
      <w:pPr>
        <w:rPr>
          <w:rFonts w:ascii="Arial" w:hAnsi="Arial" w:cs="Arial"/>
          <w:b/>
          <w:bCs/>
          <w:color w:val="000000"/>
        </w:rPr>
      </w:pPr>
    </w:p>
    <w:p w:rsidR="004C7BF8" w:rsidRDefault="004C7BF8" w:rsidP="004C7BF8">
      <w:pPr>
        <w:rPr>
          <w:rFonts w:ascii="Arial" w:hAnsi="Arial" w:cs="Arial"/>
          <w:b/>
          <w:bCs/>
          <w:color w:val="000000"/>
        </w:rPr>
      </w:pPr>
    </w:p>
    <w:p w:rsidR="004C7BF8" w:rsidRDefault="004C7BF8" w:rsidP="004C7BF8">
      <w:pPr>
        <w:rPr>
          <w:rFonts w:ascii="Arial" w:hAnsi="Arial" w:cs="Arial"/>
          <w:b/>
          <w:bCs/>
          <w:color w:val="000000"/>
        </w:rPr>
        <w:sectPr w:rsidR="004C7BF8" w:rsidSect="000023B9">
          <w:footerReference w:type="default" r:id="rId9"/>
          <w:type w:val="continuous"/>
          <w:pgSz w:w="11906" w:h="16838"/>
          <w:pgMar w:top="527" w:right="709" w:bottom="426" w:left="709" w:header="0" w:footer="709" w:gutter="0"/>
          <w:cols w:space="720"/>
          <w:formProt w:val="0"/>
          <w:docGrid w:linePitch="100"/>
        </w:sectPr>
      </w:pPr>
    </w:p>
    <w:p w:rsidR="004C7BF8" w:rsidRDefault="004C7BF8" w:rsidP="004C7BF8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Prix des canelés taille « Original » chez </w:t>
      </w:r>
      <w:proofErr w:type="spellStart"/>
      <w:r>
        <w:rPr>
          <w:rFonts w:ascii="Arial" w:hAnsi="Arial" w:cs="Arial"/>
          <w:b/>
          <w:bCs/>
          <w:color w:val="000000"/>
        </w:rPr>
        <w:t>Baillardran</w:t>
      </w:r>
      <w:proofErr w:type="spellEnd"/>
    </w:p>
    <w:p w:rsidR="004C7BF8" w:rsidRDefault="004C7BF8" w:rsidP="004C7BF8">
      <w:pPr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37"/>
        <w:gridCol w:w="2337"/>
      </w:tblGrid>
      <w:tr w:rsidR="004C7BF8" w:rsidTr="004C7BF8">
        <w:tc>
          <w:tcPr>
            <w:tcW w:w="5239" w:type="dxa"/>
            <w:shd w:val="clear" w:color="auto" w:fill="BC0006"/>
          </w:tcPr>
          <w:p w:rsidR="00F53A66" w:rsidRPr="004C7BF8" w:rsidRDefault="004C7BF8" w:rsidP="00F53A66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C7BF8">
              <w:rPr>
                <w:rFonts w:ascii="Arial" w:hAnsi="Arial" w:cs="Arial"/>
                <w:b/>
                <w:bCs/>
                <w:color w:val="FFFFFF" w:themeColor="background1"/>
              </w:rPr>
              <w:t>Nombre de canelés</w:t>
            </w:r>
            <w:r w:rsidR="00F53A66">
              <w:rPr>
                <w:rFonts w:ascii="Arial" w:hAnsi="Arial" w:cs="Arial"/>
                <w:b/>
                <w:bCs/>
                <w:color w:val="FFFFFF" w:themeColor="background1"/>
              </w:rPr>
              <w:t xml:space="preserve"> dans une boîte</w:t>
            </w:r>
          </w:p>
        </w:tc>
        <w:tc>
          <w:tcPr>
            <w:tcW w:w="5239" w:type="dxa"/>
            <w:shd w:val="clear" w:color="auto" w:fill="BC0006"/>
          </w:tcPr>
          <w:p w:rsidR="004C7BF8" w:rsidRPr="004C7BF8" w:rsidRDefault="004C7BF8" w:rsidP="004C7B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C7BF8">
              <w:rPr>
                <w:rFonts w:ascii="Arial" w:hAnsi="Arial" w:cs="Arial"/>
                <w:b/>
                <w:bCs/>
                <w:color w:val="FFFFFF" w:themeColor="background1"/>
              </w:rPr>
              <w:t>Prix</w:t>
            </w:r>
          </w:p>
        </w:tc>
      </w:tr>
      <w:tr w:rsidR="004C7BF8" w:rsidTr="004C7BF8">
        <w:tc>
          <w:tcPr>
            <w:tcW w:w="5239" w:type="dxa"/>
          </w:tcPr>
          <w:p w:rsidR="004C7BF8" w:rsidRPr="00FC11ED" w:rsidRDefault="004C7BF8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239" w:type="dxa"/>
          </w:tcPr>
          <w:p w:rsidR="004C7BF8" w:rsidRPr="00FC11ED" w:rsidRDefault="004C7BF8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12,40 €</w:t>
            </w:r>
          </w:p>
        </w:tc>
      </w:tr>
      <w:tr w:rsidR="004C7BF8" w:rsidTr="004C7BF8">
        <w:tc>
          <w:tcPr>
            <w:tcW w:w="5239" w:type="dxa"/>
          </w:tcPr>
          <w:p w:rsidR="004C7BF8" w:rsidRPr="00FC11ED" w:rsidRDefault="004C7BF8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239" w:type="dxa"/>
          </w:tcPr>
          <w:p w:rsidR="004C7BF8" w:rsidRPr="00FC11ED" w:rsidRDefault="004C7BF8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18 €</w:t>
            </w:r>
          </w:p>
        </w:tc>
      </w:tr>
      <w:tr w:rsidR="004C7BF8" w:rsidTr="004C7BF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1003935</wp:posOffset>
                  </wp:positionH>
                  <wp:positionV relativeFrom="paragraph">
                    <wp:posOffset>2540</wp:posOffset>
                  </wp:positionV>
                  <wp:extent cx="1057910" cy="805180"/>
                  <wp:effectExtent l="0" t="0" r="0" b="0"/>
                  <wp:wrapNone/>
                  <wp:docPr id="1616732986" name="Image 2" descr="Boutique Baillardran - Les Grands Homm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outique Baillardran - Les Grands Homm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9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C11E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29 €</w:t>
            </w:r>
          </w:p>
        </w:tc>
      </w:tr>
      <w:tr w:rsidR="004C7BF8" w:rsidTr="004C7BF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35 €</w:t>
            </w:r>
          </w:p>
        </w:tc>
      </w:tr>
      <w:tr w:rsidR="004C7BF8" w:rsidTr="004C7BF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46 €</w:t>
            </w:r>
          </w:p>
        </w:tc>
      </w:tr>
      <w:tr w:rsidR="004C7BF8" w:rsidTr="004C7BF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53 €</w:t>
            </w:r>
          </w:p>
        </w:tc>
      </w:tr>
      <w:tr w:rsidR="004C7BF8" w:rsidTr="004C7BF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62 €</w:t>
            </w:r>
          </w:p>
        </w:tc>
      </w:tr>
      <w:tr w:rsidR="00FC11ED" w:rsidTr="004C7BF8">
        <w:tc>
          <w:tcPr>
            <w:tcW w:w="5239" w:type="dxa"/>
          </w:tcPr>
          <w:p w:rsidR="00FC11ED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5239" w:type="dxa"/>
          </w:tcPr>
          <w:p w:rsidR="00FC11ED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70 €</w:t>
            </w:r>
          </w:p>
        </w:tc>
      </w:tr>
    </w:tbl>
    <w:p w:rsidR="004C7BF8" w:rsidRDefault="004C7BF8" w:rsidP="004C7BF8">
      <w:pPr>
        <w:rPr>
          <w:rFonts w:ascii="Arial" w:hAnsi="Arial" w:cs="Arial"/>
          <w:b/>
          <w:bCs/>
          <w:color w:val="000000"/>
        </w:rPr>
      </w:pPr>
    </w:p>
    <w:p w:rsidR="004C7BF8" w:rsidRDefault="004C7BF8" w:rsidP="00FC11ED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Prix des canelés taille « Gros » chez </w:t>
      </w:r>
      <w:r w:rsidR="005F5578">
        <w:rPr>
          <w:rFonts w:ascii="Arial" w:hAnsi="Arial" w:cs="Arial"/>
          <w:b/>
          <w:bCs/>
          <w:color w:val="000000"/>
        </w:rPr>
        <w:br/>
      </w:r>
      <w:r w:rsidR="0011350C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a Toque Cuivrée</w:t>
      </w:r>
    </w:p>
    <w:p w:rsidR="004C7BF8" w:rsidRDefault="004C7BF8" w:rsidP="004C7BF8">
      <w:pPr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37"/>
        <w:gridCol w:w="2337"/>
      </w:tblGrid>
      <w:tr w:rsidR="004C7BF8" w:rsidTr="004C7BF8">
        <w:tc>
          <w:tcPr>
            <w:tcW w:w="5239" w:type="dxa"/>
            <w:shd w:val="clear" w:color="auto" w:fill="92414F"/>
          </w:tcPr>
          <w:p w:rsidR="00F53A66" w:rsidRPr="004C7BF8" w:rsidRDefault="004C7BF8" w:rsidP="00F53A66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C7BF8">
              <w:rPr>
                <w:rFonts w:ascii="Arial" w:hAnsi="Arial" w:cs="Arial"/>
                <w:b/>
                <w:bCs/>
                <w:color w:val="FFFFFF" w:themeColor="background1"/>
              </w:rPr>
              <w:t>Nombre de canelés</w:t>
            </w:r>
            <w:r w:rsidR="00F53A66">
              <w:rPr>
                <w:rFonts w:ascii="Arial" w:hAnsi="Arial" w:cs="Arial"/>
                <w:b/>
                <w:bCs/>
                <w:color w:val="FFFFFF" w:themeColor="background1"/>
              </w:rPr>
              <w:t xml:space="preserve"> dans une boîte</w:t>
            </w:r>
          </w:p>
        </w:tc>
        <w:tc>
          <w:tcPr>
            <w:tcW w:w="5239" w:type="dxa"/>
            <w:shd w:val="clear" w:color="auto" w:fill="92414F"/>
          </w:tcPr>
          <w:p w:rsidR="004C7BF8" w:rsidRPr="004C7BF8" w:rsidRDefault="004C7BF8" w:rsidP="004C7B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C7BF8">
              <w:rPr>
                <w:rFonts w:ascii="Arial" w:hAnsi="Arial" w:cs="Arial"/>
                <w:b/>
                <w:bCs/>
                <w:color w:val="FFFFFF" w:themeColor="background1"/>
              </w:rPr>
              <w:t>Prix</w:t>
            </w:r>
          </w:p>
        </w:tc>
      </w:tr>
      <w:tr w:rsidR="004C7BF8" w:rsidTr="009E30C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0,75 €</w:t>
            </w:r>
          </w:p>
        </w:tc>
      </w:tr>
      <w:tr w:rsidR="004C7BF8" w:rsidTr="009E30C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3,75 €</w:t>
            </w:r>
          </w:p>
        </w:tc>
      </w:tr>
      <w:tr w:rsidR="004C7BF8" w:rsidTr="009E30C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7,50 €</w:t>
            </w:r>
          </w:p>
        </w:tc>
      </w:tr>
      <w:tr w:rsidR="004C7BF8" w:rsidTr="009E30C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-532526</wp:posOffset>
                  </wp:positionH>
                  <wp:positionV relativeFrom="paragraph">
                    <wp:posOffset>-271710</wp:posOffset>
                  </wp:positionV>
                  <wp:extent cx="847288" cy="847288"/>
                  <wp:effectExtent l="0" t="0" r="3810" b="0"/>
                  <wp:wrapNone/>
                  <wp:docPr id="898683685" name="Image 4" descr="Accueil - La Toque Cuivr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ccueil - La Toque Cuivr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288" cy="847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C11ED">
              <w:rPr>
                <w:rFonts w:ascii="Arial" w:hAnsi="Arial" w:cs="Arial"/>
                <w:color w:val="000000"/>
              </w:rPr>
              <w:t>11,25 €</w:t>
            </w:r>
          </w:p>
        </w:tc>
      </w:tr>
      <w:tr w:rsidR="004C7BF8" w:rsidTr="009E30C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15 €</w:t>
            </w:r>
          </w:p>
        </w:tc>
      </w:tr>
      <w:tr w:rsidR="004C7BF8" w:rsidTr="009E30C8"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5239" w:type="dxa"/>
          </w:tcPr>
          <w:p w:rsidR="004C7BF8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18,75 €</w:t>
            </w:r>
          </w:p>
        </w:tc>
      </w:tr>
      <w:tr w:rsidR="00FC11ED" w:rsidTr="009E30C8">
        <w:tc>
          <w:tcPr>
            <w:tcW w:w="5239" w:type="dxa"/>
          </w:tcPr>
          <w:p w:rsidR="00FC11ED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5239" w:type="dxa"/>
          </w:tcPr>
          <w:p w:rsidR="00FC11ED" w:rsidRPr="00FC11ED" w:rsidRDefault="00FC11ED" w:rsidP="004C7BF8">
            <w:pPr>
              <w:jc w:val="center"/>
              <w:rPr>
                <w:rFonts w:ascii="Arial" w:hAnsi="Arial" w:cs="Arial"/>
                <w:color w:val="000000"/>
              </w:rPr>
            </w:pPr>
            <w:r w:rsidRPr="00FC11ED">
              <w:rPr>
                <w:rFonts w:ascii="Arial" w:hAnsi="Arial" w:cs="Arial"/>
                <w:color w:val="000000"/>
              </w:rPr>
              <w:t>22,50 €</w:t>
            </w:r>
          </w:p>
        </w:tc>
      </w:tr>
    </w:tbl>
    <w:p w:rsidR="004C7BF8" w:rsidRPr="00257120" w:rsidRDefault="004C7BF8" w:rsidP="004C7BF8">
      <w:pPr>
        <w:rPr>
          <w:rFonts w:ascii="Arial" w:hAnsi="Arial" w:cs="Arial"/>
          <w:b/>
          <w:bCs/>
          <w:color w:val="000000"/>
        </w:rPr>
      </w:pPr>
    </w:p>
    <w:p w:rsidR="004C7BF8" w:rsidRDefault="004C7BF8" w:rsidP="004C7BF8">
      <w:pPr>
        <w:jc w:val="both"/>
        <w:rPr>
          <w:rFonts w:ascii="Arial" w:hAnsi="Arial" w:cs="Arial"/>
          <w:b/>
          <w:bCs/>
          <w:iCs/>
          <w:color w:val="000000"/>
          <w:vertAlign w:val="superscript"/>
        </w:rPr>
      </w:pPr>
    </w:p>
    <w:p w:rsidR="004C7BF8" w:rsidRDefault="004C7BF8" w:rsidP="004C7BF8">
      <w:pPr>
        <w:rPr>
          <w:rFonts w:ascii="Arial" w:hAnsi="Arial" w:cs="Arial"/>
          <w:b/>
          <w:bCs/>
          <w:color w:val="000000"/>
        </w:rPr>
        <w:sectPr w:rsidR="004C7BF8" w:rsidSect="004C7BF8">
          <w:type w:val="continuous"/>
          <w:pgSz w:w="11906" w:h="16838"/>
          <w:pgMar w:top="527" w:right="709" w:bottom="426" w:left="709" w:header="0" w:footer="709" w:gutter="0"/>
          <w:cols w:num="2" w:space="720"/>
          <w:formProt w:val="0"/>
          <w:docGrid w:linePitch="100"/>
        </w:sectPr>
      </w:pPr>
    </w:p>
    <w:p w:rsidR="004C7BF8" w:rsidRPr="00257120" w:rsidRDefault="004C7BF8" w:rsidP="004C7BF8">
      <w:pPr>
        <w:rPr>
          <w:rFonts w:ascii="Arial" w:hAnsi="Arial" w:cs="Arial"/>
          <w:b/>
          <w:bCs/>
          <w:color w:val="000000"/>
        </w:rPr>
      </w:pPr>
    </w:p>
    <w:p w:rsidR="001261A2" w:rsidRDefault="00FC11ED" w:rsidP="00BB703F">
      <w:pPr>
        <w:jc w:val="both"/>
        <w:rPr>
          <w:rFonts w:ascii="Arial" w:hAnsi="Arial" w:cs="Arial"/>
          <w:b/>
          <w:bCs/>
          <w:iCs/>
          <w:color w:val="000000"/>
          <w:vertAlign w:val="superscript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Containers/UBF8T346G9.ms/WebArchiveCopyPasteTempFiles/com.microsoft.Word/baillardran-1.png" \* MERGEFORMATINET </w:instrText>
      </w:r>
      <w:r w:rsidR="00000000">
        <w:fldChar w:fldCharType="separate"/>
      </w:r>
      <w:r>
        <w:fldChar w:fldCharType="end"/>
      </w:r>
    </w:p>
    <w:p w:rsidR="00BB703F" w:rsidRDefault="00BB703F" w:rsidP="00BB703F">
      <w:pPr>
        <w:jc w:val="both"/>
        <w:rPr>
          <w:rFonts w:ascii="Arial" w:hAnsi="Arial" w:cs="Arial"/>
          <w:b/>
          <w:bCs/>
          <w:iCs/>
          <w:color w:val="000000"/>
          <w:vertAlign w:val="superscript"/>
        </w:rPr>
      </w:pPr>
    </w:p>
    <w:p w:rsidR="00BB703F" w:rsidRPr="00BB703F" w:rsidRDefault="00FC11ED" w:rsidP="00BB703F">
      <w:pPr>
        <w:jc w:val="both"/>
        <w:rPr>
          <w:rFonts w:ascii="Arial" w:hAnsi="Arial" w:cs="Arial"/>
          <w:b/>
          <w:bCs/>
          <w:i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Containers/UBF8T346G9.ms/WebArchiveCopyPasteTempFiles/com.microsoft.Word/logo-maintenance-la-toque-cuivree.png" \* MERGEFORMATINET </w:instrText>
      </w:r>
      <w:r w:rsidR="00000000">
        <w:fldChar w:fldCharType="separate"/>
      </w:r>
      <w:r>
        <w:fldChar w:fldCharType="end"/>
      </w:r>
    </w:p>
    <w:sectPr w:rsidR="00BB703F" w:rsidRPr="00BB703F" w:rsidSect="000023B9"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458B" w:rsidRDefault="0095458B">
      <w:r>
        <w:separator/>
      </w:r>
    </w:p>
  </w:endnote>
  <w:endnote w:type="continuationSeparator" w:id="0">
    <w:p w:rsidR="0095458B" w:rsidRDefault="0095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458B" w:rsidRDefault="0095458B">
      <w:r>
        <w:separator/>
      </w:r>
    </w:p>
  </w:footnote>
  <w:footnote w:type="continuationSeparator" w:id="0">
    <w:p w:rsidR="0095458B" w:rsidRDefault="0095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3" type="#_x0000_t75" style="width:39.8pt;height:27.3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8"/>
  </w:num>
  <w:num w:numId="2" w16cid:durableId="1330401175">
    <w:abstractNumId w:val="11"/>
  </w:num>
  <w:num w:numId="3" w16cid:durableId="1573419669">
    <w:abstractNumId w:val="6"/>
  </w:num>
  <w:num w:numId="4" w16cid:durableId="613562487">
    <w:abstractNumId w:val="20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4"/>
  </w:num>
  <w:num w:numId="8" w16cid:durableId="1492142330">
    <w:abstractNumId w:val="16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7"/>
  </w:num>
  <w:num w:numId="12" w16cid:durableId="613369461">
    <w:abstractNumId w:val="13"/>
  </w:num>
  <w:num w:numId="13" w16cid:durableId="356781996">
    <w:abstractNumId w:val="4"/>
  </w:num>
  <w:num w:numId="14" w16cid:durableId="1467821052">
    <w:abstractNumId w:val="15"/>
  </w:num>
  <w:num w:numId="15" w16cid:durableId="412555309">
    <w:abstractNumId w:val="19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2"/>
  </w:num>
  <w:num w:numId="20" w16cid:durableId="514802953">
    <w:abstractNumId w:val="7"/>
  </w:num>
  <w:num w:numId="21" w16cid:durableId="52934364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0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26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56D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7B"/>
    <w:rsid w:val="00064BE8"/>
    <w:rsid w:val="00064FFA"/>
    <w:rsid w:val="0006512B"/>
    <w:rsid w:val="000652CE"/>
    <w:rsid w:val="000658D9"/>
    <w:rsid w:val="000658DE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6B7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13D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3BCE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5661"/>
    <w:rsid w:val="000F5B9A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B10"/>
    <w:rsid w:val="0011203E"/>
    <w:rsid w:val="00112904"/>
    <w:rsid w:val="0011292F"/>
    <w:rsid w:val="00112B31"/>
    <w:rsid w:val="001131D2"/>
    <w:rsid w:val="001131D6"/>
    <w:rsid w:val="0011350C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C2F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1A2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43C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D17"/>
    <w:rsid w:val="00167014"/>
    <w:rsid w:val="00167312"/>
    <w:rsid w:val="00167493"/>
    <w:rsid w:val="00167D03"/>
    <w:rsid w:val="0017102D"/>
    <w:rsid w:val="001716F2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20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2DF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7C3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0F60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4AB3"/>
    <w:rsid w:val="0020574C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6E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0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3CC3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32E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E7ED0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13C"/>
    <w:rsid w:val="002F36E1"/>
    <w:rsid w:val="002F37BD"/>
    <w:rsid w:val="002F39CA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3215"/>
    <w:rsid w:val="00333372"/>
    <w:rsid w:val="00333DFF"/>
    <w:rsid w:val="00334747"/>
    <w:rsid w:val="003347C6"/>
    <w:rsid w:val="00334AFD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2E"/>
    <w:rsid w:val="003811F3"/>
    <w:rsid w:val="00381588"/>
    <w:rsid w:val="003816D9"/>
    <w:rsid w:val="0038177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6DB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11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687D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531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876"/>
    <w:rsid w:val="004A3AE0"/>
    <w:rsid w:val="004A4695"/>
    <w:rsid w:val="004A58A0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2ED3"/>
    <w:rsid w:val="004B32EC"/>
    <w:rsid w:val="004B340F"/>
    <w:rsid w:val="004B356B"/>
    <w:rsid w:val="004B4199"/>
    <w:rsid w:val="004B4788"/>
    <w:rsid w:val="004B48BC"/>
    <w:rsid w:val="004B48FD"/>
    <w:rsid w:val="004B4EC4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BF8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59A2"/>
    <w:rsid w:val="00515E60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DA8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556D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BC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578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6BA8"/>
    <w:rsid w:val="00736E8A"/>
    <w:rsid w:val="007370C2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09A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3AC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00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C3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819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C38"/>
    <w:rsid w:val="00941D69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54B"/>
    <w:rsid w:val="0095458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301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70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0DA"/>
    <w:rsid w:val="009B2245"/>
    <w:rsid w:val="009B24A5"/>
    <w:rsid w:val="009B271F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260"/>
    <w:rsid w:val="009C240B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EC"/>
    <w:rsid w:val="009E57F7"/>
    <w:rsid w:val="009E5BFB"/>
    <w:rsid w:val="009E5E14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58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4B5F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7E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0ED"/>
    <w:rsid w:val="00AC43EC"/>
    <w:rsid w:val="00AC446A"/>
    <w:rsid w:val="00AC4B46"/>
    <w:rsid w:val="00AC5162"/>
    <w:rsid w:val="00AC576F"/>
    <w:rsid w:val="00AC58A6"/>
    <w:rsid w:val="00AC5B71"/>
    <w:rsid w:val="00AC731B"/>
    <w:rsid w:val="00AC783A"/>
    <w:rsid w:val="00AC7EA3"/>
    <w:rsid w:val="00AD127E"/>
    <w:rsid w:val="00AD1421"/>
    <w:rsid w:val="00AD1D77"/>
    <w:rsid w:val="00AD24B4"/>
    <w:rsid w:val="00AD2CAD"/>
    <w:rsid w:val="00AD382D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0D5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4B3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E2F"/>
    <w:rsid w:val="00B43F94"/>
    <w:rsid w:val="00B44412"/>
    <w:rsid w:val="00B4483A"/>
    <w:rsid w:val="00B44C9E"/>
    <w:rsid w:val="00B44DFD"/>
    <w:rsid w:val="00B44F72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504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AD2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2B9"/>
    <w:rsid w:val="00B85C77"/>
    <w:rsid w:val="00B86648"/>
    <w:rsid w:val="00B86796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03F"/>
    <w:rsid w:val="00BB719D"/>
    <w:rsid w:val="00BB7794"/>
    <w:rsid w:val="00BB7D27"/>
    <w:rsid w:val="00BC049A"/>
    <w:rsid w:val="00BC058B"/>
    <w:rsid w:val="00BC13D3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224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5B8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598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BDD"/>
    <w:rsid w:val="00DC1CB9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4951"/>
    <w:rsid w:val="00DD5301"/>
    <w:rsid w:val="00DD58D4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C8D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647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40C6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D14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668"/>
    <w:rsid w:val="00EA59F4"/>
    <w:rsid w:val="00EA5C36"/>
    <w:rsid w:val="00EA5C47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2EC2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44E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A27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080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0C7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1D4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7DA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3A66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43B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491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5F1D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40F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03B"/>
    <w:rsid w:val="00FB01C3"/>
    <w:rsid w:val="00FB09B4"/>
    <w:rsid w:val="00FB0A3B"/>
    <w:rsid w:val="00FB0C87"/>
    <w:rsid w:val="00FB1D75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1ED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0F4"/>
    <w:rsid w:val="00FC55B9"/>
    <w:rsid w:val="00FC571A"/>
    <w:rsid w:val="00FC5953"/>
    <w:rsid w:val="00FC59E9"/>
    <w:rsid w:val="00FC5ACD"/>
    <w:rsid w:val="00FC5D52"/>
    <w:rsid w:val="00FC6444"/>
    <w:rsid w:val="00FC66D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304"/>
    <w:rsid w:val="00FE46F0"/>
    <w:rsid w:val="00FE4AF5"/>
    <w:rsid w:val="00FE5BCD"/>
    <w:rsid w:val="00FE5D9E"/>
    <w:rsid w:val="00FE604E"/>
    <w:rsid w:val="00FE6166"/>
    <w:rsid w:val="00FE67C3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5758F4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2025-01-27T07:01:00Z</cp:lastPrinted>
  <dcterms:created xsi:type="dcterms:W3CDTF">2025-01-27T07:01:00Z</dcterms:created>
  <dcterms:modified xsi:type="dcterms:W3CDTF">2025-01-27T07:02:00Z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